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2127467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F16B0B">
        <w:rPr>
          <w:rFonts w:ascii="Century Gothic" w:hAnsi="Century Gothic"/>
          <w:b/>
          <w:sz w:val="24"/>
          <w:szCs w:val="24"/>
        </w:rPr>
        <w:t xml:space="preserve"> Séptima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16B0B">
        <w:rPr>
          <w:rFonts w:ascii="Century Gothic" w:hAnsi="Century Gothic"/>
          <w:b/>
          <w:sz w:val="24"/>
          <w:szCs w:val="24"/>
        </w:rPr>
        <w:t>veintiuno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16B0B" w:rsidRPr="0052553A" w:rsidRDefault="00F16B0B" w:rsidP="00F16B0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16B0B" w:rsidRDefault="00F16B0B" w:rsidP="00F16B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16B0B" w:rsidRPr="0052553A" w:rsidRDefault="00F16B0B" w:rsidP="00F16B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180/5TCC/2020/2,182/5TCC/2020/2 y 258/2020-3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294/2019, 353/2019 y 49/2020,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</w:t>
      </w:r>
      <w:r>
        <w:rPr>
          <w:rFonts w:ascii="Century Gothic" w:hAnsi="Century Gothic"/>
          <w:b w:val="0"/>
          <w:sz w:val="24"/>
          <w:szCs w:val="24"/>
        </w:rPr>
        <w:t xml:space="preserve">mplimiento de la ejecutoria de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F16B0B" w:rsidRDefault="00F16B0B" w:rsidP="00F16B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560/2019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294/2019 del Quinto Tribunal Colegiado en Materia Administrativa del Tercer Circuito.</w:t>
      </w:r>
    </w:p>
    <w:p w:rsidR="00F16B0B" w:rsidRDefault="00F16B0B" w:rsidP="00F16B0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927/2019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353/2019 del Quinto Tribunal Colegiado en Materia Administrativa del Tercer Circuito.</w:t>
      </w:r>
    </w:p>
    <w:p w:rsidR="00E86C1F" w:rsidRPr="00176ABC" w:rsidRDefault="00F16B0B" w:rsidP="00F16B0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1034/2019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49/2020 del Quinto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16B0B">
        <w:rPr>
          <w:rFonts w:ascii="Century Gothic" w:hAnsi="Century Gothic"/>
          <w:b/>
          <w:sz w:val="24"/>
          <w:szCs w:val="24"/>
        </w:rPr>
        <w:t>VEINTE</w:t>
      </w:r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2127467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D298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A287-D1D6-43FE-A0C5-80CD3382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2020-10-19T15:42:00Z</dcterms:created>
  <dcterms:modified xsi:type="dcterms:W3CDTF">2020-10-19T15:42:00Z</dcterms:modified>
</cp:coreProperties>
</file>